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4EB" w:rsidRPr="00640F23" w:rsidRDefault="00836335" w:rsidP="00CF2F87">
      <w:pPr>
        <w:spacing w:before="100" w:beforeAutospacing="1" w:after="100" w:afterAutospacing="1" w:line="240" w:lineRule="auto"/>
        <w:outlineLvl w:val="3"/>
        <w:rPr>
          <w:rFonts w:ascii="Verdana" w:eastAsia="Times New Roman" w:hAnsi="Verdana" w:cs="Times New Roman"/>
          <w:b/>
          <w:bCs/>
          <w:color w:val="000000"/>
          <w:sz w:val="24"/>
          <w:szCs w:val="24"/>
          <w:lang w:val="en-GB" w:eastAsia="bs-Latn-BA"/>
        </w:rPr>
      </w:pPr>
      <w:r w:rsidRPr="00640F23">
        <w:rPr>
          <w:rFonts w:ascii="Verdana" w:eastAsia="Times New Roman" w:hAnsi="Verdana" w:cs="Times New Roman"/>
          <w:b/>
          <w:bCs/>
          <w:color w:val="000000"/>
          <w:sz w:val="24"/>
          <w:szCs w:val="24"/>
          <w:lang w:val="en-GB" w:eastAsia="bs-Latn-BA"/>
        </w:rPr>
        <w:t>Name of administrative procedure: Issue of the decision on the use of forms of export of goods (art</w:t>
      </w:r>
      <w:r w:rsidR="00671128" w:rsidRPr="00640F23">
        <w:rPr>
          <w:rFonts w:ascii="Verdana" w:eastAsia="Times New Roman" w:hAnsi="Verdana" w:cs="Times New Roman"/>
          <w:b/>
          <w:bCs/>
          <w:color w:val="000000"/>
          <w:sz w:val="24"/>
          <w:szCs w:val="24"/>
          <w:lang w:val="en-GB" w:eastAsia="bs-Latn-BA"/>
        </w:rPr>
        <w:t>efacts) based on L</w:t>
      </w:r>
      <w:r w:rsidRPr="00640F23">
        <w:rPr>
          <w:rFonts w:ascii="Verdana" w:eastAsia="Times New Roman" w:hAnsi="Verdana" w:cs="Times New Roman"/>
          <w:b/>
          <w:bCs/>
          <w:color w:val="000000"/>
          <w:sz w:val="24"/>
          <w:szCs w:val="24"/>
          <w:lang w:val="en-GB" w:eastAsia="bs-Latn-BA"/>
        </w:rPr>
        <w:t>icense D</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47"/>
        <w:gridCol w:w="7309"/>
      </w:tblGrid>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A44EB" w:rsidRPr="00640F23" w:rsidRDefault="00671128"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Larger organizational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A44EB" w:rsidRPr="00640F23" w:rsidRDefault="007B5762"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Sector for foreign trade policy and foreign investments</w:t>
            </w: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DA44EB" w:rsidRPr="00640F23" w:rsidRDefault="00671128"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Smaller organizational unit</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p w:rsidR="00DA44EB" w:rsidRPr="00640F23" w:rsidRDefault="007D06D8" w:rsidP="000C55E8">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Department for foreign trade policy, control and safeguard measures</w:t>
            </w: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A44EB" w:rsidRPr="00640F23" w:rsidRDefault="008E49D6"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Activity/</w:t>
            </w:r>
            <w:proofErr w:type="spellStart"/>
            <w:r w:rsidRPr="00640F23">
              <w:rPr>
                <w:rFonts w:ascii="Verdana" w:eastAsia="Times New Roman" w:hAnsi="Verdana" w:cs="Times New Roman"/>
                <w:b/>
                <w:bCs/>
                <w:color w:val="000000"/>
                <w:sz w:val="15"/>
                <w:szCs w:val="15"/>
                <w:lang w:val="en-GB" w:eastAsia="bs-Latn-BA"/>
              </w:rPr>
              <w:t>ies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A44EB" w:rsidRPr="00640F23" w:rsidRDefault="007F37F7" w:rsidP="007F37F7">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Export of artefacts that are in accordance with the Law on Foreign Trade Policy of Bosnia and Herzegovina and the Decision on classification of goods on export and import regimes classified in regime "D"</w:t>
            </w: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DA44EB" w:rsidRPr="00640F23" w:rsidRDefault="008E49D6"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Competent incumbents contact data</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6"/>
            </w:tblGrid>
            <w:tr w:rsidR="00DA44EB" w:rsidRPr="00640F23">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DA44EB" w:rsidRPr="00640F23" w:rsidRDefault="000C55E8" w:rsidP="000C55E8">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Saša Džafić, Faris Godinjak</w:t>
                  </w:r>
                </w:p>
              </w:tc>
            </w:tr>
            <w:tr w:rsidR="00DA44EB" w:rsidRPr="00640F23">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DA44EB" w:rsidRPr="00640F23" w:rsidRDefault="00FE26D8"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Phone</w:t>
                  </w:r>
                  <w:r w:rsidR="00DA44EB" w:rsidRPr="00640F23">
                    <w:rPr>
                      <w:rFonts w:ascii="Verdana" w:eastAsia="Times New Roman" w:hAnsi="Verdana" w:cs="Times New Roman"/>
                      <w:sz w:val="15"/>
                      <w:szCs w:val="15"/>
                      <w:lang w:val="en-GB" w:eastAsia="bs-Latn-BA"/>
                    </w:rPr>
                    <w:t>:</w:t>
                  </w:r>
                  <w:r w:rsidR="00222925" w:rsidRPr="00640F23">
                    <w:rPr>
                      <w:rFonts w:ascii="Verdana" w:eastAsia="Times New Roman" w:hAnsi="Verdana" w:cs="Times New Roman"/>
                      <w:sz w:val="15"/>
                      <w:szCs w:val="15"/>
                      <w:lang w:val="en-GB" w:eastAsia="bs-Latn-BA"/>
                    </w:rPr>
                    <w:t xml:space="preserve"> 033</w:t>
                  </w:r>
                  <w:r w:rsidR="00DA44EB" w:rsidRPr="00640F23">
                    <w:rPr>
                      <w:rFonts w:ascii="Verdana" w:eastAsia="Times New Roman" w:hAnsi="Verdana" w:cs="Times New Roman"/>
                      <w:sz w:val="15"/>
                      <w:szCs w:val="15"/>
                      <w:lang w:val="en-GB" w:eastAsia="bs-Latn-BA"/>
                    </w:rPr>
                    <w:t> 551 526</w:t>
                  </w:r>
                </w:p>
              </w:tc>
            </w:tr>
            <w:tr w:rsidR="00DA44EB" w:rsidRPr="00640F23">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A8459E" w:rsidRPr="00640F23" w:rsidRDefault="00DA44EB"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E-mail: </w:t>
                  </w:r>
                </w:p>
                <w:p w:rsidR="00DA44EB" w:rsidRPr="00640F23" w:rsidRDefault="00DC33D4" w:rsidP="00DA44EB">
                  <w:pPr>
                    <w:spacing w:after="0" w:line="240" w:lineRule="auto"/>
                    <w:rPr>
                      <w:rFonts w:ascii="Verdana" w:eastAsia="Times New Roman" w:hAnsi="Verdana" w:cs="Times New Roman"/>
                      <w:color w:val="0000FF"/>
                      <w:sz w:val="15"/>
                      <w:szCs w:val="15"/>
                      <w:u w:val="single"/>
                      <w:lang w:val="en-GB" w:eastAsia="bs-Latn-BA"/>
                    </w:rPr>
                  </w:pPr>
                  <w:hyperlink r:id="rId4" w:history="1">
                    <w:r w:rsidR="00DA44EB" w:rsidRPr="00640F23">
                      <w:rPr>
                        <w:rFonts w:ascii="Verdana" w:eastAsia="Times New Roman" w:hAnsi="Verdana" w:cs="Times New Roman"/>
                        <w:color w:val="0000FF"/>
                        <w:sz w:val="15"/>
                        <w:szCs w:val="15"/>
                        <w:u w:val="single"/>
                        <w:lang w:val="en-GB" w:eastAsia="bs-Latn-BA"/>
                      </w:rPr>
                      <w:t>sasa.dzafic@mvteo.gov.ba</w:t>
                    </w:r>
                  </w:hyperlink>
                </w:p>
                <w:p w:rsidR="00A8459E" w:rsidRPr="00640F23" w:rsidRDefault="00A8459E"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color w:val="0000FF"/>
                      <w:sz w:val="15"/>
                      <w:szCs w:val="15"/>
                      <w:u w:val="single"/>
                      <w:lang w:val="en-GB" w:eastAsia="bs-Latn-BA"/>
                    </w:rPr>
                    <w:t>faris.godinjak</w:t>
                  </w:r>
                  <w:r w:rsidRPr="00640F23">
                    <w:rPr>
                      <w:rFonts w:ascii="Colonna MT" w:eastAsia="Times New Roman" w:hAnsi="Colonna MT" w:cs="Times New Roman"/>
                      <w:color w:val="0000FF"/>
                      <w:sz w:val="15"/>
                      <w:szCs w:val="15"/>
                      <w:u w:val="single"/>
                      <w:lang w:val="en-GB" w:eastAsia="bs-Latn-BA"/>
                    </w:rPr>
                    <w:t>@</w:t>
                  </w:r>
                  <w:r w:rsidRPr="00640F23">
                    <w:rPr>
                      <w:rFonts w:ascii="Verdana" w:eastAsia="Times New Roman" w:hAnsi="Verdana" w:cs="Times New Roman"/>
                      <w:color w:val="0000FF"/>
                      <w:sz w:val="15"/>
                      <w:szCs w:val="15"/>
                      <w:u w:val="single"/>
                      <w:lang w:val="en-GB" w:eastAsia="bs-Latn-BA"/>
                    </w:rPr>
                    <w:t>mvteo.gov.ba</w:t>
                  </w:r>
                </w:p>
              </w:tc>
            </w:tr>
          </w:tbl>
          <w:p w:rsidR="00DA44EB" w:rsidRPr="00640F23" w:rsidRDefault="00DA44EB" w:rsidP="00DA44EB">
            <w:pPr>
              <w:spacing w:after="0" w:line="240" w:lineRule="auto"/>
              <w:rPr>
                <w:rFonts w:ascii="Verdana" w:eastAsia="Times New Roman" w:hAnsi="Verdana" w:cs="Times New Roman"/>
                <w:sz w:val="15"/>
                <w:szCs w:val="15"/>
                <w:lang w:val="en-GB" w:eastAsia="bs-Latn-BA"/>
              </w:rPr>
            </w:pP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A44EB" w:rsidRPr="00640F23" w:rsidRDefault="008E49D6"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Purpose of the administrative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A44EB" w:rsidRPr="00640F23" w:rsidRDefault="00237900" w:rsidP="00237900">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Exercise the right to export goods (artefacts) that are on licencing regime</w:t>
            </w: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DA44EB" w:rsidRPr="00640F23" w:rsidRDefault="008E49D6"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Legal base for the administrative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p w:rsidR="00DA44EB" w:rsidRPr="00640F23" w:rsidRDefault="005A5C8C" w:rsidP="00B10376">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 xml:space="preserve">The </w:t>
            </w:r>
            <w:r w:rsidR="0046230C" w:rsidRPr="00640F23">
              <w:rPr>
                <w:rFonts w:ascii="Verdana" w:eastAsia="Times New Roman" w:hAnsi="Verdana" w:cs="Times New Roman"/>
                <w:sz w:val="15"/>
                <w:szCs w:val="15"/>
                <w:lang w:val="en-GB" w:eastAsia="bs-Latn-BA"/>
              </w:rPr>
              <w:t xml:space="preserve">Law on Foreign Trade Policy of Bosnia and Herzegovina ("Official Gazette of BiH" No. 7/98 and 35/04) and </w:t>
            </w:r>
            <w:r w:rsidRPr="00640F23">
              <w:rPr>
                <w:rFonts w:ascii="Verdana" w:eastAsia="Times New Roman" w:hAnsi="Verdana" w:cs="Times New Roman"/>
                <w:sz w:val="15"/>
                <w:szCs w:val="15"/>
                <w:lang w:val="en-GB" w:eastAsia="bs-Latn-BA"/>
              </w:rPr>
              <w:t xml:space="preserve">the </w:t>
            </w:r>
            <w:r w:rsidR="0046230C" w:rsidRPr="00640F23">
              <w:rPr>
                <w:rFonts w:ascii="Verdana" w:eastAsia="Times New Roman" w:hAnsi="Verdana" w:cs="Times New Roman"/>
                <w:sz w:val="15"/>
                <w:szCs w:val="15"/>
                <w:lang w:val="en-GB" w:eastAsia="bs-Latn-BA"/>
              </w:rPr>
              <w:t>Decision on Classification of Goods on Export and Import Regimes ("Official Gazette of BiH", No. 22/98, 30/02 , 40/02, 20/05, 16/08, 54/08 and 4/13)</w:t>
            </w: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A44EB" w:rsidRPr="00640F23" w:rsidRDefault="008E49D6"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Fees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7"/>
              <w:gridCol w:w="1327"/>
              <w:gridCol w:w="2126"/>
              <w:gridCol w:w="1985"/>
            </w:tblGrid>
            <w:tr w:rsidR="00A8459E" w:rsidRPr="00640F23" w:rsidTr="00DC33D4">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5A5C8C"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Fee</w:t>
                  </w:r>
                </w:p>
              </w:tc>
              <w:tc>
                <w:tcPr>
                  <w:tcW w:w="13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5A5C8C"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Amount (BAM)</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5A5C8C"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Account for payment</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5A5C8C"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Reference number</w:t>
                  </w:r>
                </w:p>
              </w:tc>
            </w:tr>
            <w:tr w:rsidR="00A8459E" w:rsidRPr="00640F23" w:rsidTr="00DC33D4">
              <w:tc>
                <w:tcPr>
                  <w:tcW w:w="0" w:type="auto"/>
                  <w:tcBorders>
                    <w:top w:val="nil"/>
                    <w:left w:val="nil"/>
                    <w:bottom w:val="nil"/>
                    <w:right w:val="nil"/>
                  </w:tcBorders>
                  <w:tcMar>
                    <w:top w:w="60" w:type="dxa"/>
                    <w:left w:w="60" w:type="dxa"/>
                    <w:bottom w:w="60" w:type="dxa"/>
                    <w:right w:w="60" w:type="dxa"/>
                  </w:tcMar>
                  <w:vAlign w:val="center"/>
                  <w:hideMark/>
                </w:tcPr>
                <w:p w:rsidR="00DA44EB" w:rsidRPr="00640F23" w:rsidRDefault="005A5C8C" w:rsidP="00366114">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Application fee</w:t>
                  </w:r>
                  <w:r w:rsidR="005A689F" w:rsidRPr="00640F23">
                    <w:rPr>
                      <w:rFonts w:ascii="Verdana" w:eastAsia="Times New Roman" w:hAnsi="Verdana" w:cs="Times New Roman"/>
                      <w:sz w:val="15"/>
                      <w:szCs w:val="15"/>
                      <w:lang w:val="en-GB" w:eastAsia="bs-Latn-BA"/>
                    </w:rPr>
                    <w:t xml:space="preserve">   </w:t>
                  </w:r>
                </w:p>
              </w:tc>
              <w:tc>
                <w:tcPr>
                  <w:tcW w:w="1327" w:type="dxa"/>
                  <w:tcBorders>
                    <w:top w:val="nil"/>
                    <w:left w:val="nil"/>
                    <w:bottom w:val="nil"/>
                    <w:right w:val="nil"/>
                  </w:tcBorders>
                  <w:tcMar>
                    <w:top w:w="60" w:type="dxa"/>
                    <w:left w:w="60" w:type="dxa"/>
                    <w:bottom w:w="60" w:type="dxa"/>
                    <w:right w:w="60" w:type="dxa"/>
                  </w:tcMar>
                  <w:vAlign w:val="center"/>
                  <w:hideMark/>
                </w:tcPr>
                <w:p w:rsidR="00DA44EB" w:rsidRPr="00640F23" w:rsidRDefault="00DC33D4" w:rsidP="00DA44E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     </w:t>
                  </w:r>
                  <w:r w:rsidR="00DA44EB" w:rsidRPr="00640F23">
                    <w:rPr>
                      <w:rFonts w:ascii="Verdana" w:eastAsia="Times New Roman" w:hAnsi="Verdana" w:cs="Times New Roman"/>
                      <w:sz w:val="15"/>
                      <w:szCs w:val="15"/>
                      <w:lang w:val="en-GB" w:eastAsia="bs-Latn-BA"/>
                    </w:rPr>
                    <w:t>5</w:t>
                  </w:r>
                </w:p>
              </w:tc>
              <w:tc>
                <w:tcPr>
                  <w:tcW w:w="2126" w:type="dxa"/>
                  <w:tcBorders>
                    <w:top w:val="nil"/>
                    <w:left w:val="nil"/>
                    <w:bottom w:val="nil"/>
                    <w:right w:val="nil"/>
                  </w:tcBorders>
                  <w:tcMar>
                    <w:top w:w="60" w:type="dxa"/>
                    <w:left w:w="60" w:type="dxa"/>
                    <w:bottom w:w="60" w:type="dxa"/>
                    <w:right w:w="60" w:type="dxa"/>
                  </w:tcMar>
                  <w:vAlign w:val="center"/>
                  <w:hideMark/>
                </w:tcPr>
                <w:p w:rsidR="00DA44EB" w:rsidRPr="00640F23" w:rsidRDefault="00DA44EB"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3380002210018390</w:t>
                  </w:r>
                </w:p>
              </w:tc>
              <w:tc>
                <w:tcPr>
                  <w:tcW w:w="1985" w:type="dxa"/>
                  <w:tcBorders>
                    <w:top w:val="nil"/>
                    <w:left w:val="nil"/>
                    <w:bottom w:val="nil"/>
                    <w:right w:val="nil"/>
                  </w:tcBorders>
                  <w:tcMar>
                    <w:top w:w="60" w:type="dxa"/>
                    <w:left w:w="60" w:type="dxa"/>
                    <w:bottom w:w="60" w:type="dxa"/>
                    <w:right w:w="60" w:type="dxa"/>
                  </w:tcMar>
                  <w:vAlign w:val="center"/>
                  <w:hideMark/>
                </w:tcPr>
                <w:p w:rsidR="00DA44EB" w:rsidRPr="00640F23" w:rsidRDefault="00DC33D4" w:rsidP="00DA44E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         1</w:t>
                  </w:r>
                </w:p>
              </w:tc>
            </w:tr>
            <w:tr w:rsidR="00A8459E" w:rsidRPr="00640F23" w:rsidTr="00DC33D4">
              <w:tc>
                <w:tcPr>
                  <w:tcW w:w="0" w:type="auto"/>
                  <w:tcBorders>
                    <w:top w:val="nil"/>
                    <w:left w:val="nil"/>
                    <w:bottom w:val="nil"/>
                    <w:right w:val="nil"/>
                  </w:tcBorders>
                  <w:tcMar>
                    <w:top w:w="60" w:type="dxa"/>
                    <w:left w:w="60" w:type="dxa"/>
                    <w:bottom w:w="60" w:type="dxa"/>
                    <w:right w:w="60" w:type="dxa"/>
                  </w:tcMar>
                  <w:vAlign w:val="center"/>
                  <w:hideMark/>
                </w:tcPr>
                <w:p w:rsidR="00DA44EB" w:rsidRPr="00640F23" w:rsidRDefault="005A689F" w:rsidP="00366114">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Licence issuance fee</w:t>
                  </w:r>
                </w:p>
              </w:tc>
              <w:tc>
                <w:tcPr>
                  <w:tcW w:w="1327" w:type="dxa"/>
                  <w:tcBorders>
                    <w:top w:val="nil"/>
                    <w:left w:val="nil"/>
                    <w:bottom w:val="nil"/>
                    <w:right w:val="nil"/>
                  </w:tcBorders>
                  <w:tcMar>
                    <w:top w:w="60" w:type="dxa"/>
                    <w:left w:w="60" w:type="dxa"/>
                    <w:bottom w:w="60" w:type="dxa"/>
                    <w:right w:w="60" w:type="dxa"/>
                  </w:tcMar>
                  <w:vAlign w:val="center"/>
                  <w:hideMark/>
                </w:tcPr>
                <w:p w:rsidR="00DA44EB" w:rsidRPr="00640F23" w:rsidRDefault="00DC33D4" w:rsidP="00DA44E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     </w:t>
                  </w:r>
                  <w:r w:rsidR="00DA44EB" w:rsidRPr="00640F23">
                    <w:rPr>
                      <w:rFonts w:ascii="Verdana" w:eastAsia="Times New Roman" w:hAnsi="Verdana" w:cs="Times New Roman"/>
                      <w:sz w:val="15"/>
                      <w:szCs w:val="15"/>
                      <w:lang w:val="en-GB" w:eastAsia="bs-Latn-BA"/>
                    </w:rPr>
                    <w:t>15</w:t>
                  </w:r>
                </w:p>
              </w:tc>
              <w:tc>
                <w:tcPr>
                  <w:tcW w:w="2126" w:type="dxa"/>
                  <w:tcBorders>
                    <w:top w:val="nil"/>
                    <w:left w:val="nil"/>
                    <w:bottom w:val="nil"/>
                    <w:right w:val="nil"/>
                  </w:tcBorders>
                  <w:tcMar>
                    <w:top w:w="60" w:type="dxa"/>
                    <w:left w:w="60" w:type="dxa"/>
                    <w:bottom w:w="60" w:type="dxa"/>
                    <w:right w:w="60" w:type="dxa"/>
                  </w:tcMar>
                  <w:vAlign w:val="center"/>
                  <w:hideMark/>
                </w:tcPr>
                <w:p w:rsidR="00DA44EB" w:rsidRPr="00640F23" w:rsidRDefault="00DA44EB"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3380002210018390</w:t>
                  </w:r>
                </w:p>
              </w:tc>
              <w:tc>
                <w:tcPr>
                  <w:tcW w:w="1985" w:type="dxa"/>
                  <w:tcBorders>
                    <w:top w:val="nil"/>
                    <w:left w:val="nil"/>
                    <w:bottom w:val="nil"/>
                    <w:right w:val="nil"/>
                  </w:tcBorders>
                  <w:tcMar>
                    <w:top w:w="60" w:type="dxa"/>
                    <w:left w:w="60" w:type="dxa"/>
                    <w:bottom w:w="60" w:type="dxa"/>
                    <w:right w:w="60" w:type="dxa"/>
                  </w:tcMar>
                  <w:vAlign w:val="center"/>
                  <w:hideMark/>
                </w:tcPr>
                <w:p w:rsidR="00DA44EB" w:rsidRPr="00640F23" w:rsidRDefault="00DC33D4" w:rsidP="00DA44E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         </w:t>
                  </w:r>
                  <w:r w:rsidR="00DA44EB" w:rsidRPr="00640F23">
                    <w:rPr>
                      <w:rFonts w:ascii="Verdana" w:eastAsia="Times New Roman" w:hAnsi="Verdana" w:cs="Times New Roman"/>
                      <w:sz w:val="15"/>
                      <w:szCs w:val="15"/>
                      <w:lang w:val="en-GB" w:eastAsia="bs-Latn-BA"/>
                    </w:rPr>
                    <w:t>3</w:t>
                  </w:r>
                </w:p>
              </w:tc>
            </w:tr>
            <w:tr w:rsidR="00DC33D4" w:rsidRPr="00640F23" w:rsidTr="00DC33D4">
              <w:tc>
                <w:tcPr>
                  <w:tcW w:w="0" w:type="auto"/>
                  <w:tcBorders>
                    <w:top w:val="nil"/>
                    <w:left w:val="nil"/>
                    <w:bottom w:val="nil"/>
                    <w:right w:val="nil"/>
                  </w:tcBorders>
                  <w:tcMar>
                    <w:top w:w="60" w:type="dxa"/>
                    <w:left w:w="60" w:type="dxa"/>
                    <w:bottom w:w="60" w:type="dxa"/>
                    <w:right w:w="60" w:type="dxa"/>
                  </w:tcMar>
                  <w:vAlign w:val="center"/>
                </w:tcPr>
                <w:p w:rsidR="00DC33D4" w:rsidRPr="00640F23" w:rsidRDefault="00DC33D4" w:rsidP="00366114">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Income:</w:t>
                  </w:r>
                </w:p>
              </w:tc>
              <w:tc>
                <w:tcPr>
                  <w:tcW w:w="1327" w:type="dxa"/>
                  <w:tcBorders>
                    <w:top w:val="nil"/>
                    <w:left w:val="nil"/>
                    <w:bottom w:val="nil"/>
                    <w:right w:val="nil"/>
                  </w:tcBorders>
                  <w:tcMar>
                    <w:top w:w="60" w:type="dxa"/>
                    <w:left w:w="60" w:type="dxa"/>
                    <w:bottom w:w="60" w:type="dxa"/>
                    <w:right w:w="60" w:type="dxa"/>
                  </w:tcMar>
                  <w:vAlign w:val="center"/>
                </w:tcPr>
                <w:p w:rsidR="00DC33D4" w:rsidRDefault="00DC33D4" w:rsidP="00DA44EB">
                  <w:pPr>
                    <w:spacing w:after="0" w:line="240" w:lineRule="auto"/>
                    <w:rPr>
                      <w:rFonts w:ascii="Verdana" w:eastAsia="Times New Roman" w:hAnsi="Verdana" w:cs="Times New Roman"/>
                      <w:sz w:val="15"/>
                      <w:szCs w:val="15"/>
                      <w:lang w:val="en-GB" w:eastAsia="bs-Latn-BA"/>
                    </w:rPr>
                  </w:pPr>
                </w:p>
              </w:tc>
              <w:tc>
                <w:tcPr>
                  <w:tcW w:w="2126" w:type="dxa"/>
                  <w:tcBorders>
                    <w:top w:val="nil"/>
                    <w:left w:val="nil"/>
                    <w:bottom w:val="nil"/>
                    <w:right w:val="nil"/>
                  </w:tcBorders>
                  <w:tcMar>
                    <w:top w:w="60" w:type="dxa"/>
                    <w:left w:w="60" w:type="dxa"/>
                    <w:bottom w:w="60" w:type="dxa"/>
                    <w:right w:w="60" w:type="dxa"/>
                  </w:tcMar>
                  <w:vAlign w:val="center"/>
                </w:tcPr>
                <w:p w:rsidR="00DC33D4" w:rsidRPr="00640F23" w:rsidRDefault="00DC33D4" w:rsidP="00DA44EB">
                  <w:pPr>
                    <w:spacing w:after="0" w:line="240" w:lineRule="auto"/>
                    <w:rPr>
                      <w:rFonts w:ascii="Verdana" w:eastAsia="Times New Roman" w:hAnsi="Verdana" w:cs="Times New Roman"/>
                      <w:sz w:val="15"/>
                      <w:szCs w:val="15"/>
                      <w:lang w:val="en-GB" w:eastAsia="bs-Latn-BA"/>
                    </w:rPr>
                  </w:pPr>
                </w:p>
              </w:tc>
              <w:tc>
                <w:tcPr>
                  <w:tcW w:w="1985" w:type="dxa"/>
                  <w:tcBorders>
                    <w:top w:val="nil"/>
                    <w:left w:val="nil"/>
                    <w:bottom w:val="nil"/>
                    <w:right w:val="nil"/>
                  </w:tcBorders>
                  <w:tcMar>
                    <w:top w:w="60" w:type="dxa"/>
                    <w:left w:w="60" w:type="dxa"/>
                    <w:bottom w:w="60" w:type="dxa"/>
                    <w:right w:w="60" w:type="dxa"/>
                  </w:tcMar>
                  <w:vAlign w:val="center"/>
                </w:tcPr>
                <w:p w:rsidR="00DC33D4" w:rsidRDefault="00DC33D4" w:rsidP="00DA44EB">
                  <w:pPr>
                    <w:spacing w:after="0" w:line="240" w:lineRule="auto"/>
                    <w:rPr>
                      <w:rFonts w:ascii="Verdana" w:eastAsia="Times New Roman" w:hAnsi="Verdana" w:cs="Times New Roman"/>
                      <w:sz w:val="15"/>
                      <w:szCs w:val="15"/>
                      <w:lang w:val="en-GB" w:eastAsia="bs-Latn-BA"/>
                    </w:rPr>
                  </w:pPr>
                </w:p>
              </w:tc>
            </w:tr>
            <w:tr w:rsidR="00DC33D4" w:rsidRPr="00640F23" w:rsidTr="00DC33D4">
              <w:tc>
                <w:tcPr>
                  <w:tcW w:w="0" w:type="auto"/>
                  <w:tcBorders>
                    <w:top w:val="nil"/>
                    <w:left w:val="nil"/>
                    <w:bottom w:val="nil"/>
                    <w:right w:val="nil"/>
                  </w:tcBorders>
                  <w:tcMar>
                    <w:top w:w="60" w:type="dxa"/>
                    <w:left w:w="60" w:type="dxa"/>
                    <w:bottom w:w="60" w:type="dxa"/>
                    <w:right w:w="60" w:type="dxa"/>
                  </w:tcMar>
                  <w:vAlign w:val="center"/>
                </w:tcPr>
                <w:p w:rsidR="00DC33D4" w:rsidRPr="00640F23" w:rsidRDefault="00DC33D4" w:rsidP="00366114">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for fee of 5 BAM:</w:t>
                  </w:r>
                </w:p>
              </w:tc>
              <w:tc>
                <w:tcPr>
                  <w:tcW w:w="1327" w:type="dxa"/>
                  <w:tcBorders>
                    <w:top w:val="nil"/>
                    <w:left w:val="nil"/>
                    <w:bottom w:val="nil"/>
                    <w:right w:val="nil"/>
                  </w:tcBorders>
                  <w:tcMar>
                    <w:top w:w="60" w:type="dxa"/>
                    <w:left w:w="60" w:type="dxa"/>
                    <w:bottom w:w="60" w:type="dxa"/>
                    <w:right w:w="60" w:type="dxa"/>
                  </w:tcMar>
                  <w:vAlign w:val="center"/>
                </w:tcPr>
                <w:p w:rsidR="00DC33D4" w:rsidRDefault="00DC33D4" w:rsidP="00DA44E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722101</w:t>
                  </w:r>
                </w:p>
              </w:tc>
              <w:tc>
                <w:tcPr>
                  <w:tcW w:w="2126" w:type="dxa"/>
                  <w:tcBorders>
                    <w:top w:val="nil"/>
                    <w:left w:val="nil"/>
                    <w:bottom w:val="nil"/>
                    <w:right w:val="nil"/>
                  </w:tcBorders>
                  <w:tcMar>
                    <w:top w:w="60" w:type="dxa"/>
                    <w:left w:w="60" w:type="dxa"/>
                    <w:bottom w:w="60" w:type="dxa"/>
                    <w:right w:w="60" w:type="dxa"/>
                  </w:tcMar>
                  <w:vAlign w:val="center"/>
                </w:tcPr>
                <w:p w:rsidR="00DC33D4" w:rsidRPr="00640F23" w:rsidRDefault="00DC33D4" w:rsidP="00DA44E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Budget organization:</w:t>
                  </w:r>
                </w:p>
              </w:tc>
              <w:tc>
                <w:tcPr>
                  <w:tcW w:w="1985" w:type="dxa"/>
                  <w:tcBorders>
                    <w:top w:val="nil"/>
                    <w:left w:val="nil"/>
                    <w:bottom w:val="nil"/>
                    <w:right w:val="nil"/>
                  </w:tcBorders>
                  <w:tcMar>
                    <w:top w:w="60" w:type="dxa"/>
                    <w:left w:w="60" w:type="dxa"/>
                    <w:bottom w:w="60" w:type="dxa"/>
                    <w:right w:w="60" w:type="dxa"/>
                  </w:tcMar>
                  <w:vAlign w:val="center"/>
                </w:tcPr>
                <w:p w:rsidR="00DC33D4" w:rsidRDefault="00DC33D4" w:rsidP="00DA44E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0801999</w:t>
                  </w:r>
                </w:p>
              </w:tc>
            </w:tr>
            <w:tr w:rsidR="00DC33D4" w:rsidRPr="00640F23" w:rsidTr="00DC33D4">
              <w:tc>
                <w:tcPr>
                  <w:tcW w:w="0" w:type="auto"/>
                  <w:tcBorders>
                    <w:top w:val="nil"/>
                    <w:left w:val="nil"/>
                    <w:bottom w:val="nil"/>
                    <w:right w:val="nil"/>
                  </w:tcBorders>
                  <w:tcMar>
                    <w:top w:w="60" w:type="dxa"/>
                    <w:left w:w="60" w:type="dxa"/>
                    <w:bottom w:w="60" w:type="dxa"/>
                    <w:right w:w="60" w:type="dxa"/>
                  </w:tcMar>
                  <w:vAlign w:val="center"/>
                </w:tcPr>
                <w:p w:rsidR="00DC33D4" w:rsidRDefault="00DC33D4" w:rsidP="00366114">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for fee of 15 KM:</w:t>
                  </w:r>
                  <w:bookmarkStart w:id="0" w:name="_GoBack"/>
                  <w:bookmarkEnd w:id="0"/>
                </w:p>
              </w:tc>
              <w:tc>
                <w:tcPr>
                  <w:tcW w:w="1327" w:type="dxa"/>
                  <w:tcBorders>
                    <w:top w:val="nil"/>
                    <w:left w:val="nil"/>
                    <w:bottom w:val="nil"/>
                    <w:right w:val="nil"/>
                  </w:tcBorders>
                  <w:tcMar>
                    <w:top w:w="60" w:type="dxa"/>
                    <w:left w:w="60" w:type="dxa"/>
                    <w:bottom w:w="60" w:type="dxa"/>
                    <w:right w:w="60" w:type="dxa"/>
                  </w:tcMar>
                  <w:vAlign w:val="center"/>
                </w:tcPr>
                <w:p w:rsidR="00DC33D4" w:rsidRDefault="00DC33D4" w:rsidP="00DA44E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722103</w:t>
                  </w:r>
                </w:p>
              </w:tc>
              <w:tc>
                <w:tcPr>
                  <w:tcW w:w="2126" w:type="dxa"/>
                  <w:tcBorders>
                    <w:top w:val="nil"/>
                    <w:left w:val="nil"/>
                    <w:bottom w:val="nil"/>
                    <w:right w:val="nil"/>
                  </w:tcBorders>
                  <w:tcMar>
                    <w:top w:w="60" w:type="dxa"/>
                    <w:left w:w="60" w:type="dxa"/>
                    <w:bottom w:w="60" w:type="dxa"/>
                    <w:right w:w="60" w:type="dxa"/>
                  </w:tcMar>
                  <w:vAlign w:val="center"/>
                </w:tcPr>
                <w:p w:rsidR="00DC33D4" w:rsidRPr="00640F23" w:rsidRDefault="00DC33D4" w:rsidP="00DA44EB">
                  <w:pPr>
                    <w:spacing w:after="0" w:line="240" w:lineRule="auto"/>
                    <w:rPr>
                      <w:rFonts w:ascii="Verdana" w:eastAsia="Times New Roman" w:hAnsi="Verdana" w:cs="Times New Roman"/>
                      <w:sz w:val="15"/>
                      <w:szCs w:val="15"/>
                      <w:lang w:val="en-GB" w:eastAsia="bs-Latn-BA"/>
                    </w:rPr>
                  </w:pPr>
                </w:p>
              </w:tc>
              <w:tc>
                <w:tcPr>
                  <w:tcW w:w="1985" w:type="dxa"/>
                  <w:tcBorders>
                    <w:top w:val="nil"/>
                    <w:left w:val="nil"/>
                    <w:bottom w:val="nil"/>
                    <w:right w:val="nil"/>
                  </w:tcBorders>
                  <w:tcMar>
                    <w:top w:w="60" w:type="dxa"/>
                    <w:left w:w="60" w:type="dxa"/>
                    <w:bottom w:w="60" w:type="dxa"/>
                    <w:right w:w="60" w:type="dxa"/>
                  </w:tcMar>
                  <w:vAlign w:val="center"/>
                </w:tcPr>
                <w:p w:rsidR="00DC33D4" w:rsidRDefault="00DC33D4" w:rsidP="00DA44EB">
                  <w:pPr>
                    <w:spacing w:after="0" w:line="240" w:lineRule="auto"/>
                    <w:rPr>
                      <w:rFonts w:ascii="Verdana" w:eastAsia="Times New Roman" w:hAnsi="Verdana" w:cs="Times New Roman"/>
                      <w:sz w:val="15"/>
                      <w:szCs w:val="15"/>
                      <w:lang w:val="en-GB" w:eastAsia="bs-Latn-BA"/>
                    </w:rPr>
                  </w:pPr>
                </w:p>
              </w:tc>
            </w:tr>
          </w:tbl>
          <w:p w:rsidR="00DA44EB" w:rsidRPr="00640F23" w:rsidRDefault="00DA44EB" w:rsidP="00DA44EB">
            <w:pPr>
              <w:spacing w:after="0" w:line="240" w:lineRule="auto"/>
              <w:rPr>
                <w:rFonts w:ascii="Verdana" w:eastAsia="Times New Roman" w:hAnsi="Verdana" w:cs="Times New Roman"/>
                <w:sz w:val="15"/>
                <w:szCs w:val="15"/>
                <w:lang w:val="en-GB" w:eastAsia="bs-Latn-BA"/>
              </w:rPr>
            </w:pP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DA44EB" w:rsidRPr="00640F23" w:rsidRDefault="00A764D8"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Required information for applying</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6"/>
            </w:tblGrid>
            <w:tr w:rsidR="00DA44EB" w:rsidRPr="00640F23" w:rsidTr="00DA44EB">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D22162"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Information</w:t>
                  </w:r>
                </w:p>
              </w:tc>
            </w:tr>
            <w:tr w:rsidR="00DA44EB" w:rsidRPr="00640F23" w:rsidTr="00DA44EB">
              <w:tc>
                <w:tcPr>
                  <w:tcW w:w="0" w:type="auto"/>
                  <w:tcBorders>
                    <w:top w:val="nil"/>
                    <w:left w:val="nil"/>
                    <w:bottom w:val="nil"/>
                    <w:right w:val="nil"/>
                  </w:tcBorders>
                  <w:tcMar>
                    <w:top w:w="60" w:type="dxa"/>
                    <w:left w:w="60" w:type="dxa"/>
                    <w:bottom w:w="60" w:type="dxa"/>
                    <w:right w:w="60" w:type="dxa"/>
                  </w:tcMar>
                  <w:vAlign w:val="center"/>
                  <w:hideMark/>
                </w:tcPr>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Place and date of application</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Applicant’s name</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Applicant’s residence</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Responsible person of the applicant</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 xml:space="preserve">Applicant’s phone number </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Name of the exporter</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Residence of the exporter</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Responsible person of the exporter</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Phone number of the exporter</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Importer</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End user</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Licence validity period</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Country of origin of goods</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Description</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Tariff Code</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Quantity</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Signature (applicant)</w:t>
                  </w:r>
                </w:p>
                <w:p w:rsidR="0083122F" w:rsidRPr="00640F23" w:rsidRDefault="0083122F" w:rsidP="00D22162">
                  <w:pPr>
                    <w:spacing w:after="0" w:line="240" w:lineRule="auto"/>
                    <w:rPr>
                      <w:rFonts w:ascii="Verdana" w:eastAsia="Times New Roman" w:hAnsi="Verdana" w:cs="Times New Roman"/>
                      <w:sz w:val="15"/>
                      <w:szCs w:val="15"/>
                      <w:lang w:val="en-GB" w:eastAsia="bs-Latn-BA"/>
                    </w:rPr>
                  </w:pPr>
                </w:p>
                <w:p w:rsidR="00D22162" w:rsidRPr="00640F23" w:rsidRDefault="00D22162" w:rsidP="00D22162">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Seal</w:t>
                  </w:r>
                </w:p>
                <w:p w:rsidR="00DA44EB" w:rsidRPr="00640F23" w:rsidRDefault="00DA44EB" w:rsidP="00DA44EB">
                  <w:pPr>
                    <w:spacing w:after="0" w:line="240" w:lineRule="auto"/>
                    <w:rPr>
                      <w:rFonts w:ascii="Verdana" w:eastAsia="Times New Roman" w:hAnsi="Verdana" w:cs="Times New Roman"/>
                      <w:sz w:val="15"/>
                      <w:szCs w:val="15"/>
                      <w:lang w:val="en-GB" w:eastAsia="bs-Latn-BA"/>
                    </w:rPr>
                  </w:pPr>
                </w:p>
              </w:tc>
            </w:tr>
          </w:tbl>
          <w:p w:rsidR="00DA44EB" w:rsidRPr="00640F23" w:rsidRDefault="00DA44EB" w:rsidP="00DA44EB">
            <w:pPr>
              <w:spacing w:after="0" w:line="240" w:lineRule="auto"/>
              <w:rPr>
                <w:rFonts w:ascii="Verdana" w:eastAsia="Times New Roman" w:hAnsi="Verdana" w:cs="Times New Roman"/>
                <w:sz w:val="15"/>
                <w:szCs w:val="15"/>
                <w:lang w:val="en-GB" w:eastAsia="bs-Latn-BA"/>
              </w:rPr>
            </w:pP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A44EB" w:rsidRPr="00640F23" w:rsidRDefault="00A764D8"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lastRenderedPageBreak/>
              <w:t>Documentation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88"/>
              <w:gridCol w:w="1886"/>
              <w:gridCol w:w="705"/>
              <w:gridCol w:w="694"/>
            </w:tblGrid>
            <w:tr w:rsidR="00F2170D" w:rsidRPr="00640F23" w:rsidTr="00DB122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FB2AB1"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Doc</w:t>
                  </w:r>
                  <w:r w:rsidR="00DA44EB" w:rsidRPr="00640F23">
                    <w:rPr>
                      <w:rFonts w:ascii="Times New Roman" w:eastAsia="Times New Roman" w:hAnsi="Times New Roman" w:cs="Times New Roman"/>
                      <w:b/>
                      <w:bCs/>
                      <w:sz w:val="15"/>
                      <w:szCs w:val="15"/>
                      <w:lang w:val="en-GB" w:eastAsia="bs-Latn-BA"/>
                    </w:rPr>
                    <w:t>ument</w:t>
                  </w:r>
                </w:p>
              </w:tc>
              <w:tc>
                <w:tcPr>
                  <w:tcW w:w="18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FF28CD"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Institution issuing the documentation</w:t>
                  </w:r>
                </w:p>
              </w:tc>
              <w:tc>
                <w:tcPr>
                  <w:tcW w:w="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FF28CD"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Delivery form</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4EB" w:rsidRPr="00640F23" w:rsidRDefault="00FF28CD" w:rsidP="00DA44EB">
                  <w:pPr>
                    <w:spacing w:after="0" w:line="240" w:lineRule="auto"/>
                    <w:jc w:val="center"/>
                    <w:rPr>
                      <w:rFonts w:ascii="Times New Roman" w:eastAsia="Times New Roman" w:hAnsi="Times New Roman" w:cs="Times New Roman"/>
                      <w:b/>
                      <w:bCs/>
                      <w:sz w:val="15"/>
                      <w:szCs w:val="15"/>
                      <w:lang w:val="en-GB" w:eastAsia="bs-Latn-BA"/>
                    </w:rPr>
                  </w:pPr>
                  <w:r w:rsidRPr="00640F23">
                    <w:rPr>
                      <w:rFonts w:ascii="Times New Roman" w:eastAsia="Times New Roman" w:hAnsi="Times New Roman" w:cs="Times New Roman"/>
                      <w:b/>
                      <w:bCs/>
                      <w:sz w:val="15"/>
                      <w:szCs w:val="15"/>
                      <w:lang w:val="en-GB" w:eastAsia="bs-Latn-BA"/>
                    </w:rPr>
                    <w:t>Comment</w:t>
                  </w:r>
                </w:p>
              </w:tc>
            </w:tr>
            <w:tr w:rsidR="00F2170D" w:rsidRPr="00640F23" w:rsidTr="00DB1227">
              <w:tc>
                <w:tcPr>
                  <w:tcW w:w="0" w:type="auto"/>
                  <w:tcBorders>
                    <w:top w:val="nil"/>
                    <w:left w:val="nil"/>
                    <w:bottom w:val="nil"/>
                    <w:right w:val="nil"/>
                  </w:tcBorders>
                  <w:tcMar>
                    <w:top w:w="60" w:type="dxa"/>
                    <w:left w:w="60" w:type="dxa"/>
                    <w:bottom w:w="60" w:type="dxa"/>
                    <w:right w:w="60" w:type="dxa"/>
                  </w:tcMar>
                  <w:vAlign w:val="center"/>
                  <w:hideMark/>
                </w:tcPr>
                <w:p w:rsidR="00DA44EB" w:rsidRPr="00640F23" w:rsidRDefault="00A90D8F" w:rsidP="00A90D8F">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Consent of the entity </w:t>
                  </w:r>
                  <w:r w:rsidR="00FA6DCD" w:rsidRPr="00640F23">
                    <w:rPr>
                      <w:rFonts w:ascii="Verdana" w:eastAsia="Times New Roman" w:hAnsi="Verdana" w:cs="Times New Roman"/>
                      <w:sz w:val="15"/>
                      <w:szCs w:val="15"/>
                      <w:lang w:val="en-GB" w:eastAsia="bs-Latn-BA"/>
                    </w:rPr>
                    <w:t>authority</w:t>
                  </w:r>
                </w:p>
              </w:tc>
              <w:tc>
                <w:tcPr>
                  <w:tcW w:w="1886" w:type="dxa"/>
                  <w:tcBorders>
                    <w:top w:val="nil"/>
                    <w:left w:val="nil"/>
                    <w:bottom w:val="nil"/>
                    <w:right w:val="nil"/>
                  </w:tcBorders>
                  <w:tcMar>
                    <w:top w:w="60" w:type="dxa"/>
                    <w:left w:w="60" w:type="dxa"/>
                    <w:bottom w:w="60" w:type="dxa"/>
                    <w:right w:w="60" w:type="dxa"/>
                  </w:tcMar>
                  <w:vAlign w:val="center"/>
                  <w:hideMark/>
                </w:tcPr>
                <w:p w:rsidR="00DB1227" w:rsidRPr="00640F23" w:rsidRDefault="00E75B95" w:rsidP="00A8459E">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Federal Ministry of Culture and Sport</w:t>
                  </w:r>
                </w:p>
                <w:p w:rsidR="00DA44EB" w:rsidRPr="00640F23" w:rsidRDefault="00D07E89" w:rsidP="00A8459E">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Ministry of Education and Culture of RS</w:t>
                  </w:r>
                </w:p>
              </w:tc>
              <w:tc>
                <w:tcPr>
                  <w:tcW w:w="690" w:type="dxa"/>
                  <w:tcBorders>
                    <w:top w:val="nil"/>
                    <w:left w:val="nil"/>
                    <w:bottom w:val="nil"/>
                    <w:right w:val="nil"/>
                  </w:tcBorders>
                  <w:tcMar>
                    <w:top w:w="60" w:type="dxa"/>
                    <w:left w:w="60" w:type="dxa"/>
                    <w:bottom w:w="60" w:type="dxa"/>
                    <w:right w:w="60" w:type="dxa"/>
                  </w:tcMar>
                  <w:vAlign w:val="center"/>
                  <w:hideMark/>
                </w:tcPr>
                <w:p w:rsidR="00DA44EB" w:rsidRPr="00640F23" w:rsidRDefault="00DA44EB"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Original</w:t>
                  </w:r>
                </w:p>
              </w:tc>
              <w:tc>
                <w:tcPr>
                  <w:tcW w:w="0" w:type="auto"/>
                  <w:tcBorders>
                    <w:top w:val="nil"/>
                    <w:left w:val="nil"/>
                    <w:bottom w:val="nil"/>
                    <w:right w:val="nil"/>
                  </w:tcBorders>
                  <w:tcMar>
                    <w:top w:w="60" w:type="dxa"/>
                    <w:left w:w="60" w:type="dxa"/>
                    <w:bottom w:w="60" w:type="dxa"/>
                    <w:right w:w="60" w:type="dxa"/>
                  </w:tcMar>
                  <w:vAlign w:val="center"/>
                  <w:hideMark/>
                </w:tcPr>
                <w:p w:rsidR="00DA44EB" w:rsidRPr="00640F23" w:rsidRDefault="00DA44EB"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 </w:t>
                  </w:r>
                </w:p>
              </w:tc>
            </w:tr>
            <w:tr w:rsidR="00F2170D" w:rsidRPr="00640F23" w:rsidTr="00DB1227">
              <w:tc>
                <w:tcPr>
                  <w:tcW w:w="0" w:type="auto"/>
                  <w:tcBorders>
                    <w:top w:val="nil"/>
                    <w:left w:val="nil"/>
                    <w:bottom w:val="nil"/>
                    <w:right w:val="nil"/>
                  </w:tcBorders>
                  <w:tcMar>
                    <w:top w:w="60" w:type="dxa"/>
                    <w:left w:w="60" w:type="dxa"/>
                    <w:bottom w:w="60" w:type="dxa"/>
                    <w:right w:w="60" w:type="dxa"/>
                  </w:tcMar>
                  <w:vAlign w:val="center"/>
                  <w:hideMark/>
                </w:tcPr>
                <w:p w:rsidR="00F01DBC" w:rsidRPr="00640F23" w:rsidRDefault="00FA6DCD"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 xml:space="preserve">Specification of artefacts that are permanently or temporarily exported, certified by the </w:t>
                  </w:r>
                  <w:r w:rsidR="00E75B95" w:rsidRPr="00640F23">
                    <w:rPr>
                      <w:rFonts w:ascii="Verdana" w:eastAsia="Times New Roman" w:hAnsi="Verdana" w:cs="Times New Roman"/>
                      <w:sz w:val="15"/>
                      <w:szCs w:val="15"/>
                      <w:lang w:val="en-GB" w:eastAsia="bs-Latn-BA"/>
                    </w:rPr>
                    <w:t>line</w:t>
                  </w:r>
                  <w:r w:rsidRPr="00640F23">
                    <w:rPr>
                      <w:rFonts w:ascii="Verdana" w:eastAsia="Times New Roman" w:hAnsi="Verdana" w:cs="Times New Roman"/>
                      <w:sz w:val="15"/>
                      <w:szCs w:val="15"/>
                      <w:lang w:val="en-GB" w:eastAsia="bs-Latn-BA"/>
                    </w:rPr>
                    <w:t xml:space="preserve"> entity authorit</w:t>
                  </w:r>
                  <w:r w:rsidR="00E75B95" w:rsidRPr="00640F23">
                    <w:rPr>
                      <w:rFonts w:ascii="Verdana" w:eastAsia="Times New Roman" w:hAnsi="Verdana" w:cs="Times New Roman"/>
                      <w:sz w:val="15"/>
                      <w:szCs w:val="15"/>
                      <w:lang w:val="en-GB" w:eastAsia="bs-Latn-BA"/>
                    </w:rPr>
                    <w:t>y</w:t>
                  </w:r>
                </w:p>
                <w:p w:rsidR="00F01DBC" w:rsidRPr="00640F23" w:rsidRDefault="00F01DBC" w:rsidP="00DA44EB">
                  <w:pPr>
                    <w:spacing w:after="0" w:line="240" w:lineRule="auto"/>
                    <w:rPr>
                      <w:rFonts w:ascii="Verdana" w:eastAsia="Times New Roman" w:hAnsi="Verdana" w:cs="Times New Roman"/>
                      <w:sz w:val="15"/>
                      <w:szCs w:val="15"/>
                      <w:lang w:val="en-GB" w:eastAsia="bs-Latn-BA"/>
                    </w:rPr>
                  </w:pPr>
                </w:p>
                <w:p w:rsidR="00F01DBC" w:rsidRPr="00640F23" w:rsidRDefault="00E75B95"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Proof of payment of fee</w:t>
                  </w:r>
                </w:p>
              </w:tc>
              <w:tc>
                <w:tcPr>
                  <w:tcW w:w="1886" w:type="dxa"/>
                  <w:tcBorders>
                    <w:top w:val="nil"/>
                    <w:left w:val="nil"/>
                    <w:bottom w:val="nil"/>
                    <w:right w:val="nil"/>
                  </w:tcBorders>
                  <w:tcMar>
                    <w:top w:w="60" w:type="dxa"/>
                    <w:left w:w="60" w:type="dxa"/>
                    <w:bottom w:w="60" w:type="dxa"/>
                    <w:right w:w="60" w:type="dxa"/>
                  </w:tcMar>
                  <w:vAlign w:val="center"/>
                  <w:hideMark/>
                </w:tcPr>
                <w:p w:rsidR="00F01DBC" w:rsidRPr="00640F23" w:rsidRDefault="00D07E89" w:rsidP="00EF1607">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Federal Ministry of Culture and Sport</w:t>
                  </w:r>
                  <w:r w:rsidR="00D81EDC" w:rsidRPr="00640F23">
                    <w:rPr>
                      <w:rFonts w:ascii="Verdana" w:eastAsia="Times New Roman" w:hAnsi="Verdana" w:cs="Times New Roman"/>
                      <w:sz w:val="15"/>
                      <w:szCs w:val="15"/>
                      <w:lang w:val="en-GB" w:eastAsia="bs-Latn-BA"/>
                    </w:rPr>
                    <w:t>s</w:t>
                  </w:r>
                  <w:r w:rsidRPr="00640F23">
                    <w:rPr>
                      <w:rFonts w:ascii="Verdana" w:eastAsia="Times New Roman" w:hAnsi="Verdana" w:cs="Times New Roman"/>
                      <w:sz w:val="15"/>
                      <w:szCs w:val="15"/>
                      <w:lang w:val="en-GB" w:eastAsia="bs-Latn-BA"/>
                    </w:rPr>
                    <w:t xml:space="preserve"> </w:t>
                  </w:r>
                  <w:r w:rsidR="00A90D8F" w:rsidRPr="00A90D8F">
                    <w:rPr>
                      <w:rFonts w:ascii="Verdana" w:eastAsia="Times New Roman" w:hAnsi="Verdana" w:cs="Times New Roman"/>
                      <w:sz w:val="15"/>
                      <w:szCs w:val="15"/>
                      <w:lang w:val="en-GB" w:eastAsia="bs-Latn-BA"/>
                    </w:rPr>
                    <w:t>Ministry of Education and Culture of RS</w:t>
                  </w:r>
                </w:p>
              </w:tc>
              <w:tc>
                <w:tcPr>
                  <w:tcW w:w="690" w:type="dxa"/>
                  <w:tcBorders>
                    <w:top w:val="nil"/>
                    <w:left w:val="nil"/>
                    <w:bottom w:val="nil"/>
                    <w:right w:val="nil"/>
                  </w:tcBorders>
                  <w:tcMar>
                    <w:top w:w="60" w:type="dxa"/>
                    <w:left w:w="60" w:type="dxa"/>
                    <w:bottom w:w="60" w:type="dxa"/>
                    <w:right w:w="60" w:type="dxa"/>
                  </w:tcMar>
                  <w:vAlign w:val="center"/>
                  <w:hideMark/>
                </w:tcPr>
                <w:p w:rsidR="00F01DBC" w:rsidRPr="00640F23" w:rsidRDefault="00F01DBC" w:rsidP="00EF1607">
                  <w:pPr>
                    <w:spacing w:after="0" w:line="240" w:lineRule="auto"/>
                    <w:rPr>
                      <w:rFonts w:ascii="Verdana" w:eastAsia="Times New Roman" w:hAnsi="Verdana" w:cs="Times New Roman"/>
                      <w:sz w:val="15"/>
                      <w:szCs w:val="15"/>
                      <w:lang w:val="en-GB" w:eastAsia="bs-Latn-BA"/>
                    </w:rPr>
                  </w:pPr>
                </w:p>
                <w:p w:rsidR="00F01DBC" w:rsidRPr="00640F23" w:rsidRDefault="00F01DBC" w:rsidP="00EF1607">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Original</w:t>
                  </w:r>
                </w:p>
              </w:tc>
              <w:tc>
                <w:tcPr>
                  <w:tcW w:w="0" w:type="auto"/>
                  <w:tcBorders>
                    <w:top w:val="nil"/>
                    <w:left w:val="nil"/>
                    <w:bottom w:val="nil"/>
                    <w:right w:val="nil"/>
                  </w:tcBorders>
                  <w:tcMar>
                    <w:top w:w="60" w:type="dxa"/>
                    <w:left w:w="60" w:type="dxa"/>
                    <w:bottom w:w="60" w:type="dxa"/>
                    <w:right w:w="60" w:type="dxa"/>
                  </w:tcMar>
                  <w:vAlign w:val="center"/>
                  <w:hideMark/>
                </w:tcPr>
                <w:p w:rsidR="00F01DBC" w:rsidRPr="00640F23" w:rsidRDefault="00F01DBC"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 </w:t>
                  </w:r>
                </w:p>
              </w:tc>
            </w:tr>
          </w:tbl>
          <w:p w:rsidR="00DA44EB" w:rsidRPr="00640F23" w:rsidRDefault="00DA44EB" w:rsidP="00DA44EB">
            <w:pPr>
              <w:spacing w:after="0" w:line="240" w:lineRule="auto"/>
              <w:rPr>
                <w:rFonts w:ascii="Verdana" w:eastAsia="Times New Roman" w:hAnsi="Verdana" w:cs="Times New Roman"/>
                <w:sz w:val="15"/>
                <w:szCs w:val="15"/>
                <w:lang w:val="en-GB" w:eastAsia="bs-Latn-BA"/>
              </w:rPr>
            </w:pP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DA44EB" w:rsidRPr="00640F23" w:rsidRDefault="00A764D8"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Deadline for resolving a complete case (days)</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p w:rsidR="00DA44EB" w:rsidRPr="00640F23" w:rsidRDefault="00DA44EB" w:rsidP="00DA44EB">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15</w:t>
            </w: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A44EB" w:rsidRPr="00640F23" w:rsidRDefault="00A764D8"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Note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A44EB" w:rsidRPr="00640F23" w:rsidRDefault="00DA44EB" w:rsidP="00DA44EB">
            <w:pPr>
              <w:spacing w:after="0" w:line="240" w:lineRule="auto"/>
              <w:rPr>
                <w:rFonts w:ascii="Verdana" w:eastAsia="Times New Roman" w:hAnsi="Verdana" w:cs="Times New Roman"/>
                <w:sz w:val="15"/>
                <w:szCs w:val="15"/>
                <w:lang w:val="en-GB" w:eastAsia="bs-Latn-BA"/>
              </w:rPr>
            </w:pP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DA44EB" w:rsidRPr="00640F23" w:rsidRDefault="007A5BA0" w:rsidP="00DB1227">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Time validity of the resolution upon request (days)</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p w:rsidR="00D07E89" w:rsidRPr="00640F23" w:rsidRDefault="00D07E89" w:rsidP="00D07E89">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For</w:t>
            </w:r>
            <w:r w:rsidR="007E53DE" w:rsidRPr="00640F23">
              <w:rPr>
                <w:rFonts w:ascii="Verdana" w:eastAsia="Times New Roman" w:hAnsi="Verdana" w:cs="Times New Roman"/>
                <w:sz w:val="15"/>
                <w:szCs w:val="15"/>
                <w:lang w:val="en-GB" w:eastAsia="bs-Latn-BA"/>
              </w:rPr>
              <w:t xml:space="preserve"> </w:t>
            </w:r>
            <w:r w:rsidR="00D81EDC" w:rsidRPr="00640F23">
              <w:rPr>
                <w:rFonts w:ascii="Verdana" w:eastAsia="Times New Roman" w:hAnsi="Verdana" w:cs="Times New Roman"/>
                <w:sz w:val="15"/>
                <w:szCs w:val="15"/>
                <w:lang w:val="en-GB" w:eastAsia="bs-Latn-BA"/>
              </w:rPr>
              <w:t>an</w:t>
            </w:r>
            <w:r w:rsidR="00A90D8F">
              <w:rPr>
                <w:rFonts w:ascii="Verdana" w:eastAsia="Times New Roman" w:hAnsi="Verdana" w:cs="Times New Roman"/>
                <w:sz w:val="15"/>
                <w:szCs w:val="15"/>
                <w:lang w:val="en-GB" w:eastAsia="bs-Latn-BA"/>
              </w:rPr>
              <w:t xml:space="preserve"> applicant from the Entit</w:t>
            </w:r>
            <w:r w:rsidR="007E53DE" w:rsidRPr="00640F23">
              <w:rPr>
                <w:rFonts w:ascii="Verdana" w:eastAsia="Times New Roman" w:hAnsi="Verdana" w:cs="Times New Roman"/>
                <w:sz w:val="15"/>
                <w:szCs w:val="15"/>
                <w:lang w:val="en-GB" w:eastAsia="bs-Latn-BA"/>
              </w:rPr>
              <w:t>y</w:t>
            </w:r>
            <w:r w:rsidRPr="00640F23">
              <w:rPr>
                <w:rFonts w:ascii="Verdana" w:eastAsia="Times New Roman" w:hAnsi="Verdana" w:cs="Times New Roman"/>
                <w:sz w:val="15"/>
                <w:szCs w:val="15"/>
                <w:lang w:val="en-GB" w:eastAsia="bs-Latn-BA"/>
              </w:rPr>
              <w:t xml:space="preserve"> of the Federation of Bosnia and Herzegovi</w:t>
            </w:r>
            <w:r w:rsidR="00640F23">
              <w:rPr>
                <w:rFonts w:ascii="Verdana" w:eastAsia="Times New Roman" w:hAnsi="Verdana" w:cs="Times New Roman"/>
                <w:sz w:val="15"/>
                <w:szCs w:val="15"/>
                <w:lang w:val="en-GB" w:eastAsia="bs-Latn-BA"/>
              </w:rPr>
              <w:t>na, the validity period of the d</w:t>
            </w:r>
            <w:r w:rsidRPr="00640F23">
              <w:rPr>
                <w:rFonts w:ascii="Verdana" w:eastAsia="Times New Roman" w:hAnsi="Verdana" w:cs="Times New Roman"/>
                <w:sz w:val="15"/>
                <w:szCs w:val="15"/>
                <w:lang w:val="en-GB" w:eastAsia="bs-Latn-BA"/>
              </w:rPr>
              <w:t xml:space="preserve">ecision is 6 months from the day of issuance, if it </w:t>
            </w:r>
            <w:r w:rsidR="007E53DE" w:rsidRPr="00640F23">
              <w:rPr>
                <w:rFonts w:ascii="Verdana" w:eastAsia="Times New Roman" w:hAnsi="Verdana" w:cs="Times New Roman"/>
                <w:sz w:val="15"/>
                <w:szCs w:val="15"/>
                <w:lang w:val="en-GB" w:eastAsia="bs-Latn-BA"/>
              </w:rPr>
              <w:t>concerns</w:t>
            </w:r>
            <w:r w:rsidRPr="00640F23">
              <w:rPr>
                <w:rFonts w:ascii="Verdana" w:eastAsia="Times New Roman" w:hAnsi="Verdana" w:cs="Times New Roman"/>
                <w:sz w:val="15"/>
                <w:szCs w:val="15"/>
                <w:lang w:val="en-GB" w:eastAsia="bs-Latn-BA"/>
              </w:rPr>
              <w:t xml:space="preserve"> permanent export. In case of issuing the temporary export decision, the validity period shall be determined in accordance with the validity period of the Federal Ministry of Culture and Sports.</w:t>
            </w:r>
          </w:p>
          <w:p w:rsidR="00D07E89" w:rsidRPr="00640F23" w:rsidRDefault="00D07E89" w:rsidP="00D07E89">
            <w:pPr>
              <w:spacing w:after="0" w:line="240" w:lineRule="auto"/>
              <w:rPr>
                <w:rFonts w:ascii="Verdana" w:eastAsia="Times New Roman" w:hAnsi="Verdana" w:cs="Times New Roman"/>
                <w:sz w:val="15"/>
                <w:szCs w:val="15"/>
                <w:lang w:val="en-GB" w:eastAsia="bs-Latn-BA"/>
              </w:rPr>
            </w:pPr>
          </w:p>
          <w:p w:rsidR="00D07E89" w:rsidRPr="00640F23" w:rsidRDefault="00D07E89" w:rsidP="00D07E89">
            <w:pPr>
              <w:spacing w:after="0" w:line="240" w:lineRule="auto"/>
              <w:rPr>
                <w:rFonts w:ascii="Verdana" w:eastAsia="Times New Roman" w:hAnsi="Verdana" w:cs="Times New Roman"/>
                <w:sz w:val="15"/>
                <w:szCs w:val="15"/>
                <w:lang w:val="en-GB" w:eastAsia="bs-Latn-BA"/>
              </w:rPr>
            </w:pPr>
            <w:r w:rsidRPr="00640F23">
              <w:rPr>
                <w:rFonts w:ascii="Verdana" w:eastAsia="Times New Roman" w:hAnsi="Verdana" w:cs="Times New Roman"/>
                <w:sz w:val="15"/>
                <w:szCs w:val="15"/>
                <w:lang w:val="en-GB" w:eastAsia="bs-Latn-BA"/>
              </w:rPr>
              <w:t xml:space="preserve">For </w:t>
            </w:r>
            <w:r w:rsidR="00D81EDC" w:rsidRPr="00640F23">
              <w:rPr>
                <w:rFonts w:ascii="Verdana" w:eastAsia="Times New Roman" w:hAnsi="Verdana" w:cs="Times New Roman"/>
                <w:sz w:val="15"/>
                <w:szCs w:val="15"/>
                <w:lang w:val="en-GB" w:eastAsia="bs-Latn-BA"/>
              </w:rPr>
              <w:t>an applicant from the E</w:t>
            </w:r>
            <w:r w:rsidRPr="00640F23">
              <w:rPr>
                <w:rFonts w:ascii="Verdana" w:eastAsia="Times New Roman" w:hAnsi="Verdana" w:cs="Times New Roman"/>
                <w:sz w:val="15"/>
                <w:szCs w:val="15"/>
                <w:lang w:val="en-GB" w:eastAsia="bs-Latn-BA"/>
              </w:rPr>
              <w:t xml:space="preserve">ntity </w:t>
            </w:r>
            <w:proofErr w:type="spellStart"/>
            <w:r w:rsidRPr="00640F23">
              <w:rPr>
                <w:rFonts w:ascii="Verdana" w:eastAsia="Times New Roman" w:hAnsi="Verdana" w:cs="Times New Roman"/>
                <w:sz w:val="15"/>
                <w:szCs w:val="15"/>
                <w:lang w:val="en-GB" w:eastAsia="bs-Latn-BA"/>
              </w:rPr>
              <w:t>Republika</w:t>
            </w:r>
            <w:proofErr w:type="spellEnd"/>
            <w:r w:rsidRPr="00640F23">
              <w:rPr>
                <w:rFonts w:ascii="Verdana" w:eastAsia="Times New Roman" w:hAnsi="Verdana" w:cs="Times New Roman"/>
                <w:sz w:val="15"/>
                <w:szCs w:val="15"/>
                <w:lang w:val="en-GB" w:eastAsia="bs-Latn-BA"/>
              </w:rPr>
              <w:t xml:space="preserve"> </w:t>
            </w:r>
            <w:proofErr w:type="spellStart"/>
            <w:r w:rsidRPr="00640F23">
              <w:rPr>
                <w:rFonts w:ascii="Verdana" w:eastAsia="Times New Roman" w:hAnsi="Verdana" w:cs="Times New Roman"/>
                <w:sz w:val="15"/>
                <w:szCs w:val="15"/>
                <w:lang w:val="en-GB" w:eastAsia="bs-Latn-BA"/>
              </w:rPr>
              <w:t>Srpska</w:t>
            </w:r>
            <w:proofErr w:type="spellEnd"/>
            <w:r w:rsidRPr="00640F23">
              <w:rPr>
                <w:rFonts w:ascii="Verdana" w:eastAsia="Times New Roman" w:hAnsi="Verdana" w:cs="Times New Roman"/>
                <w:sz w:val="15"/>
                <w:szCs w:val="15"/>
                <w:lang w:val="en-GB" w:eastAsia="bs-Latn-BA"/>
              </w:rPr>
              <w:t xml:space="preserve">, if it </w:t>
            </w:r>
            <w:r w:rsidR="00D81EDC" w:rsidRPr="00640F23">
              <w:rPr>
                <w:rFonts w:ascii="Verdana" w:eastAsia="Times New Roman" w:hAnsi="Verdana" w:cs="Times New Roman"/>
                <w:sz w:val="15"/>
                <w:szCs w:val="15"/>
                <w:lang w:val="en-GB" w:eastAsia="bs-Latn-BA"/>
              </w:rPr>
              <w:t>concerns</w:t>
            </w:r>
            <w:r w:rsidRPr="00640F23">
              <w:rPr>
                <w:rFonts w:ascii="Verdana" w:eastAsia="Times New Roman" w:hAnsi="Verdana" w:cs="Times New Roman"/>
                <w:sz w:val="15"/>
                <w:szCs w:val="15"/>
                <w:lang w:val="en-GB" w:eastAsia="bs-Latn-BA"/>
              </w:rPr>
              <w:t xml:space="preserve"> permanent export, th</w:t>
            </w:r>
            <w:r w:rsidR="00640F23">
              <w:rPr>
                <w:rFonts w:ascii="Verdana" w:eastAsia="Times New Roman" w:hAnsi="Verdana" w:cs="Times New Roman"/>
                <w:sz w:val="15"/>
                <w:szCs w:val="15"/>
                <w:lang w:val="en-GB" w:eastAsia="bs-Latn-BA"/>
              </w:rPr>
              <w:t>e term of validity of the d</w:t>
            </w:r>
            <w:r w:rsidRPr="00640F23">
              <w:rPr>
                <w:rFonts w:ascii="Verdana" w:eastAsia="Times New Roman" w:hAnsi="Verdana" w:cs="Times New Roman"/>
                <w:sz w:val="15"/>
                <w:szCs w:val="15"/>
                <w:lang w:val="en-GB" w:eastAsia="bs-Latn-BA"/>
              </w:rPr>
              <w:t>ecision shall be harmonized with the validity period from the export license issued by the Ministry of Education and Culture of RS (60 days from the date of issuing</w:t>
            </w:r>
            <w:r w:rsidR="00640F23" w:rsidRPr="00640F23">
              <w:rPr>
                <w:rFonts w:ascii="Verdana" w:eastAsia="Times New Roman" w:hAnsi="Verdana" w:cs="Times New Roman"/>
                <w:sz w:val="15"/>
                <w:szCs w:val="15"/>
                <w:lang w:val="en-GB" w:eastAsia="bs-Latn-BA"/>
              </w:rPr>
              <w:t xml:space="preserve"> the approval). In case of issuance</w:t>
            </w:r>
            <w:r w:rsidRPr="00640F23">
              <w:rPr>
                <w:rFonts w:ascii="Verdana" w:eastAsia="Times New Roman" w:hAnsi="Verdana" w:cs="Times New Roman"/>
                <w:sz w:val="15"/>
                <w:szCs w:val="15"/>
                <w:lang w:val="en-GB" w:eastAsia="bs-Latn-BA"/>
              </w:rPr>
              <w:t xml:space="preserve"> of a temporary export decision, the validity period shall be determined in accordance with the validity period from the export license issued by the Ministry of Education a</w:t>
            </w:r>
            <w:r w:rsidR="00A90D8F">
              <w:rPr>
                <w:rFonts w:ascii="Verdana" w:eastAsia="Times New Roman" w:hAnsi="Verdana" w:cs="Times New Roman"/>
                <w:sz w:val="15"/>
                <w:szCs w:val="15"/>
                <w:lang w:val="en-GB" w:eastAsia="bs-Latn-BA"/>
              </w:rPr>
              <w:t xml:space="preserve">nd Culture of the Republic of </w:t>
            </w:r>
            <w:proofErr w:type="spellStart"/>
            <w:r w:rsidR="00A90D8F">
              <w:rPr>
                <w:rFonts w:ascii="Verdana" w:eastAsia="Times New Roman" w:hAnsi="Verdana" w:cs="Times New Roman"/>
                <w:sz w:val="15"/>
                <w:szCs w:val="15"/>
                <w:lang w:val="en-GB" w:eastAsia="bs-Latn-BA"/>
              </w:rPr>
              <w:t>S</w:t>
            </w:r>
            <w:r w:rsidRPr="00640F23">
              <w:rPr>
                <w:rFonts w:ascii="Verdana" w:eastAsia="Times New Roman" w:hAnsi="Verdana" w:cs="Times New Roman"/>
                <w:sz w:val="15"/>
                <w:szCs w:val="15"/>
                <w:lang w:val="en-GB" w:eastAsia="bs-Latn-BA"/>
              </w:rPr>
              <w:t>r</w:t>
            </w:r>
            <w:r w:rsidR="00E91C2C">
              <w:rPr>
                <w:rFonts w:ascii="Verdana" w:eastAsia="Times New Roman" w:hAnsi="Verdana" w:cs="Times New Roman"/>
                <w:sz w:val="15"/>
                <w:szCs w:val="15"/>
                <w:lang w:val="en-GB" w:eastAsia="bs-Latn-BA"/>
              </w:rPr>
              <w:t>pska</w:t>
            </w:r>
            <w:proofErr w:type="spellEnd"/>
            <w:r w:rsidRPr="00640F23">
              <w:rPr>
                <w:rFonts w:ascii="Verdana" w:eastAsia="Times New Roman" w:hAnsi="Verdana" w:cs="Times New Roman"/>
                <w:sz w:val="15"/>
                <w:szCs w:val="15"/>
                <w:lang w:val="en-GB" w:eastAsia="bs-Latn-BA"/>
              </w:rPr>
              <w:t>.</w:t>
            </w:r>
          </w:p>
          <w:p w:rsidR="00D07E89" w:rsidRPr="00640F23" w:rsidRDefault="00D07E89" w:rsidP="00771241">
            <w:pPr>
              <w:spacing w:after="0" w:line="240" w:lineRule="auto"/>
              <w:rPr>
                <w:rFonts w:ascii="Verdana" w:eastAsia="Times New Roman" w:hAnsi="Verdana" w:cs="Times New Roman"/>
                <w:sz w:val="15"/>
                <w:szCs w:val="15"/>
                <w:lang w:val="en-GB" w:eastAsia="bs-Latn-BA"/>
              </w:rPr>
            </w:pPr>
          </w:p>
          <w:p w:rsidR="00DA44EB" w:rsidRPr="00640F23" w:rsidRDefault="00DA44EB" w:rsidP="00A64B48">
            <w:pPr>
              <w:spacing w:after="0" w:line="240" w:lineRule="auto"/>
              <w:rPr>
                <w:rFonts w:ascii="Verdana" w:eastAsia="Times New Roman" w:hAnsi="Verdana" w:cs="Times New Roman"/>
                <w:sz w:val="15"/>
                <w:szCs w:val="15"/>
                <w:lang w:val="en-GB" w:eastAsia="bs-Latn-BA"/>
              </w:rPr>
            </w:pPr>
          </w:p>
        </w:tc>
      </w:tr>
      <w:tr w:rsidR="00771241" w:rsidRPr="00640F23" w:rsidTr="00DA44EB">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DA44EB" w:rsidRPr="00640F23" w:rsidRDefault="007A5BA0" w:rsidP="00DA44EB">
            <w:pPr>
              <w:spacing w:after="0" w:line="240" w:lineRule="auto"/>
              <w:rPr>
                <w:rFonts w:ascii="Verdana" w:eastAsia="Times New Roman" w:hAnsi="Verdana" w:cs="Times New Roman"/>
                <w:b/>
                <w:bCs/>
                <w:color w:val="000000"/>
                <w:sz w:val="15"/>
                <w:szCs w:val="15"/>
                <w:lang w:val="en-GB" w:eastAsia="bs-Latn-BA"/>
              </w:rPr>
            </w:pPr>
            <w:r w:rsidRPr="00640F23">
              <w:rPr>
                <w:rFonts w:ascii="Verdana" w:eastAsia="Times New Roman" w:hAnsi="Verdana" w:cs="Times New Roman"/>
                <w:b/>
                <w:bCs/>
                <w:color w:val="000000"/>
                <w:sz w:val="15"/>
                <w:szCs w:val="15"/>
                <w:lang w:val="en-GB" w:eastAsia="bs-Latn-BA"/>
              </w:rPr>
              <w:t>Download form request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A44EB" w:rsidRPr="00640F23" w:rsidRDefault="00DC33D4" w:rsidP="00E91C2C">
            <w:pPr>
              <w:spacing w:after="0" w:line="240" w:lineRule="auto"/>
              <w:rPr>
                <w:rFonts w:ascii="Verdana" w:eastAsia="Times New Roman" w:hAnsi="Verdana" w:cs="Times New Roman"/>
                <w:sz w:val="15"/>
                <w:szCs w:val="15"/>
                <w:lang w:val="en-GB" w:eastAsia="bs-Latn-BA"/>
              </w:rPr>
            </w:pPr>
            <w:hyperlink r:id="rId5" w:history="1">
              <w:r w:rsidR="00E91C2C">
                <w:rPr>
                  <w:rFonts w:ascii="Verdana" w:eastAsia="Times New Roman" w:hAnsi="Verdana" w:cs="Times New Roman"/>
                  <w:color w:val="0000FF"/>
                  <w:sz w:val="15"/>
                  <w:szCs w:val="15"/>
                  <w:u w:val="single"/>
                  <w:lang w:val="en-GB" w:eastAsia="bs-Latn-BA"/>
                </w:rPr>
                <w:t>Download</w:t>
              </w:r>
            </w:hyperlink>
            <w:r w:rsidR="00E91C2C">
              <w:rPr>
                <w:rFonts w:ascii="Verdana" w:eastAsia="Times New Roman" w:hAnsi="Verdana" w:cs="Times New Roman"/>
                <w:color w:val="0000FF"/>
                <w:sz w:val="15"/>
                <w:szCs w:val="15"/>
                <w:u w:val="single"/>
                <w:lang w:val="en-GB" w:eastAsia="bs-Latn-BA"/>
              </w:rPr>
              <w:t xml:space="preserve"> request form</w:t>
            </w:r>
          </w:p>
        </w:tc>
      </w:tr>
    </w:tbl>
    <w:p w:rsidR="00DA44EB" w:rsidRPr="00640F23" w:rsidRDefault="00DA44EB" w:rsidP="00DA44EB">
      <w:pPr>
        <w:spacing w:after="0" w:line="240" w:lineRule="auto"/>
        <w:rPr>
          <w:rFonts w:ascii="Times New Roman" w:eastAsia="Times New Roman" w:hAnsi="Times New Roman" w:cs="Times New Roman"/>
          <w:sz w:val="24"/>
          <w:szCs w:val="24"/>
          <w:lang w:val="en-GB" w:eastAsia="bs-Latn-BA"/>
        </w:rPr>
      </w:pPr>
      <w:r w:rsidRPr="00640F23">
        <w:rPr>
          <w:rFonts w:ascii="Verdana" w:eastAsia="Times New Roman" w:hAnsi="Verdana" w:cs="Times New Roman"/>
          <w:color w:val="000000"/>
          <w:sz w:val="27"/>
          <w:szCs w:val="27"/>
          <w:lang w:val="en-GB" w:eastAsia="bs-Latn-BA"/>
        </w:rPr>
        <w:br/>
      </w:r>
    </w:p>
    <w:p w:rsidR="004656CA" w:rsidRPr="00640F23" w:rsidRDefault="004656CA">
      <w:pPr>
        <w:rPr>
          <w:lang w:val="en-GB"/>
        </w:rPr>
      </w:pPr>
    </w:p>
    <w:sectPr w:rsidR="004656CA" w:rsidRPr="00640F23" w:rsidSect="00DC33D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EB"/>
    <w:rsid w:val="000C55E8"/>
    <w:rsid w:val="00172C65"/>
    <w:rsid w:val="00222925"/>
    <w:rsid w:val="00237900"/>
    <w:rsid w:val="00257896"/>
    <w:rsid w:val="002B3FC9"/>
    <w:rsid w:val="00366114"/>
    <w:rsid w:val="00431D3D"/>
    <w:rsid w:val="0046230C"/>
    <w:rsid w:val="004656CA"/>
    <w:rsid w:val="005A5C8C"/>
    <w:rsid w:val="005A689F"/>
    <w:rsid w:val="00614DF4"/>
    <w:rsid w:val="00632BB0"/>
    <w:rsid w:val="00640F23"/>
    <w:rsid w:val="00671128"/>
    <w:rsid w:val="006758C5"/>
    <w:rsid w:val="00677C2E"/>
    <w:rsid w:val="00771241"/>
    <w:rsid w:val="007A5BA0"/>
    <w:rsid w:val="007B5762"/>
    <w:rsid w:val="007D06D8"/>
    <w:rsid w:val="007E53DE"/>
    <w:rsid w:val="007F12CD"/>
    <w:rsid w:val="007F37F7"/>
    <w:rsid w:val="0083122F"/>
    <w:rsid w:val="00836335"/>
    <w:rsid w:val="008E49D6"/>
    <w:rsid w:val="00900E57"/>
    <w:rsid w:val="00970E70"/>
    <w:rsid w:val="00A64B48"/>
    <w:rsid w:val="00A764D8"/>
    <w:rsid w:val="00A8459E"/>
    <w:rsid w:val="00A90D8F"/>
    <w:rsid w:val="00B10376"/>
    <w:rsid w:val="00B1297D"/>
    <w:rsid w:val="00BD236E"/>
    <w:rsid w:val="00CB26CA"/>
    <w:rsid w:val="00CF2F87"/>
    <w:rsid w:val="00D07E89"/>
    <w:rsid w:val="00D22162"/>
    <w:rsid w:val="00D81EDC"/>
    <w:rsid w:val="00DA44EB"/>
    <w:rsid w:val="00DB1227"/>
    <w:rsid w:val="00DC33D4"/>
    <w:rsid w:val="00E75B95"/>
    <w:rsid w:val="00E91C2C"/>
    <w:rsid w:val="00F01DBC"/>
    <w:rsid w:val="00F2170D"/>
    <w:rsid w:val="00FA6DCD"/>
    <w:rsid w:val="00FB2AB1"/>
    <w:rsid w:val="00FD2D8D"/>
    <w:rsid w:val="00FE26D8"/>
    <w:rsid w:val="00FF28CD"/>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93FB"/>
  <w15:docId w15:val="{DC452343-9487-4FF2-887F-C09BCD15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A44EB"/>
    <w:pPr>
      <w:spacing w:before="100" w:beforeAutospacing="1" w:after="100" w:afterAutospacing="1" w:line="240" w:lineRule="auto"/>
      <w:outlineLvl w:val="3"/>
    </w:pPr>
    <w:rPr>
      <w:rFonts w:ascii="Times New Roman" w:eastAsia="Times New Roman" w:hAnsi="Times New Roman" w:cs="Times New Roman"/>
      <w:b/>
      <w:bCs/>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44EB"/>
    <w:rPr>
      <w:rFonts w:ascii="Times New Roman" w:eastAsia="Times New Roman" w:hAnsi="Times New Roman" w:cs="Times New Roman"/>
      <w:b/>
      <w:bCs/>
      <w:sz w:val="24"/>
      <w:szCs w:val="24"/>
      <w:lang w:eastAsia="bs-Latn-BA"/>
    </w:rPr>
  </w:style>
  <w:style w:type="character" w:customStyle="1" w:styleId="regform">
    <w:name w:val="regform"/>
    <w:basedOn w:val="DefaultParagraphFont"/>
    <w:rsid w:val="00DA44EB"/>
  </w:style>
  <w:style w:type="character" w:styleId="Hyperlink">
    <w:name w:val="Hyperlink"/>
    <w:basedOn w:val="DefaultParagraphFont"/>
    <w:uiPriority w:val="99"/>
    <w:unhideWhenUsed/>
    <w:rsid w:val="00DA44EB"/>
    <w:rPr>
      <w:color w:val="0000FF"/>
      <w:u w:val="single"/>
    </w:rPr>
  </w:style>
  <w:style w:type="paragraph" w:styleId="NormalWeb">
    <w:name w:val="Normal (Web)"/>
    <w:basedOn w:val="Normal"/>
    <w:uiPriority w:val="99"/>
    <w:semiHidden/>
    <w:unhideWhenUsed/>
    <w:rsid w:val="00DA44E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A4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7315">
      <w:bodyDiv w:val="1"/>
      <w:marLeft w:val="0"/>
      <w:marRight w:val="0"/>
      <w:marTop w:val="0"/>
      <w:marBottom w:val="0"/>
      <w:divBdr>
        <w:top w:val="none" w:sz="0" w:space="0" w:color="auto"/>
        <w:left w:val="none" w:sz="0" w:space="0" w:color="auto"/>
        <w:bottom w:val="none" w:sz="0" w:space="0" w:color="auto"/>
        <w:right w:val="none" w:sz="0" w:space="0" w:color="auto"/>
      </w:divBdr>
      <w:divsChild>
        <w:div w:id="982583571">
          <w:marLeft w:val="0"/>
          <w:marRight w:val="0"/>
          <w:marTop w:val="0"/>
          <w:marBottom w:val="0"/>
          <w:divBdr>
            <w:top w:val="none" w:sz="0" w:space="0" w:color="auto"/>
            <w:left w:val="none" w:sz="0" w:space="0" w:color="auto"/>
            <w:bottom w:val="none" w:sz="0" w:space="0" w:color="auto"/>
            <w:right w:val="none" w:sz="0" w:space="0" w:color="auto"/>
          </w:divBdr>
        </w:div>
        <w:div w:id="686374030">
          <w:marLeft w:val="0"/>
          <w:marRight w:val="0"/>
          <w:marTop w:val="0"/>
          <w:marBottom w:val="0"/>
          <w:divBdr>
            <w:top w:val="none" w:sz="0" w:space="0" w:color="auto"/>
            <w:left w:val="none" w:sz="0" w:space="0" w:color="auto"/>
            <w:bottom w:val="none" w:sz="0" w:space="0" w:color="auto"/>
            <w:right w:val="none" w:sz="0" w:space="0" w:color="auto"/>
          </w:divBdr>
          <w:divsChild>
            <w:div w:id="1641885638">
              <w:marLeft w:val="0"/>
              <w:marRight w:val="0"/>
              <w:marTop w:val="0"/>
              <w:marBottom w:val="0"/>
              <w:divBdr>
                <w:top w:val="none" w:sz="0" w:space="0" w:color="auto"/>
                <w:left w:val="none" w:sz="0" w:space="0" w:color="auto"/>
                <w:bottom w:val="none" w:sz="0" w:space="0" w:color="auto"/>
                <w:right w:val="none" w:sz="0" w:space="0" w:color="auto"/>
              </w:divBdr>
            </w:div>
            <w:div w:id="1737125112">
              <w:marLeft w:val="0"/>
              <w:marRight w:val="0"/>
              <w:marTop w:val="0"/>
              <w:marBottom w:val="0"/>
              <w:divBdr>
                <w:top w:val="none" w:sz="0" w:space="0" w:color="auto"/>
                <w:left w:val="none" w:sz="0" w:space="0" w:color="auto"/>
                <w:bottom w:val="none" w:sz="0" w:space="0" w:color="auto"/>
                <w:right w:val="none" w:sz="0" w:space="0" w:color="auto"/>
              </w:divBdr>
            </w:div>
            <w:div w:id="7354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p.mvteo.gov.ba/obrasci/MOFTER-KZM-03.docx" TargetMode="External"/><Relationship Id="rId4" Type="http://schemas.openxmlformats.org/officeDocument/2006/relationships/hyperlink" Target="mailto:sasa.dzafic@mvteo.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 Godinjak</dc:creator>
  <cp:lastModifiedBy>Biljana Ždralić</cp:lastModifiedBy>
  <cp:revision>3</cp:revision>
  <dcterms:created xsi:type="dcterms:W3CDTF">2018-04-05T14:26:00Z</dcterms:created>
  <dcterms:modified xsi:type="dcterms:W3CDTF">2019-04-11T09:35:00Z</dcterms:modified>
</cp:coreProperties>
</file>